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B8E47" w14:textId="662E6DD3" w:rsidR="00EF5E49" w:rsidRDefault="00EF5E49" w:rsidP="00EF5E49">
      <w:pPr>
        <w:pStyle w:val="Heading1"/>
        <w:rPr>
          <w:b/>
          <w:bCs/>
        </w:rPr>
      </w:pPr>
      <w:bookmarkStart w:id="0" w:name="_Toc382216549"/>
      <w:bookmarkStart w:id="1" w:name="_GoBack"/>
      <w:bookmarkEnd w:id="1"/>
      <w:r>
        <w:rPr>
          <w:b/>
          <w:bCs/>
        </w:rPr>
        <w:t>A</w:t>
      </w:r>
      <w:r w:rsidR="000B4059">
        <w:rPr>
          <w:b/>
          <w:bCs/>
        </w:rPr>
        <w:t>ttachment One</w:t>
      </w:r>
      <w:r>
        <w:rPr>
          <w:b/>
          <w:bCs/>
        </w:rPr>
        <w:t xml:space="preserve"> </w:t>
      </w:r>
    </w:p>
    <w:p w14:paraId="38EB8E48" w14:textId="77777777" w:rsidR="00EF5E49" w:rsidRDefault="00EF5E49" w:rsidP="00EF5E49">
      <w:pPr>
        <w:pStyle w:val="Heading1"/>
        <w:rPr>
          <w:b/>
          <w:bCs/>
        </w:rPr>
      </w:pPr>
      <w:r>
        <w:rPr>
          <w:b/>
          <w:bCs/>
        </w:rPr>
        <w:t>Pricing Sheet</w:t>
      </w:r>
      <w:bookmarkEnd w:id="0"/>
    </w:p>
    <w:p w14:paraId="38EB8E49" w14:textId="77777777" w:rsidR="00EF5E49" w:rsidRDefault="00EF5E49" w:rsidP="00EF5E49">
      <w:pPr>
        <w:pStyle w:val="Heading1"/>
        <w:rPr>
          <w:b/>
          <w:bCs/>
        </w:rPr>
      </w:pPr>
      <w:r>
        <w:rPr>
          <w:b/>
          <w:bCs/>
          <w:highlight w:val="yellow"/>
        </w:rPr>
        <w:t xml:space="preserve"> </w:t>
      </w:r>
    </w:p>
    <w:p w14:paraId="38EB8E4A" w14:textId="607CC20A" w:rsidR="00EF5E49" w:rsidRDefault="00C94A75" w:rsidP="00EF5E49">
      <w:pPr>
        <w:pStyle w:val="14bldcentr"/>
      </w:pPr>
      <w:r>
        <w:t>Request for Proposal</w:t>
      </w:r>
      <w:r w:rsidR="00EF5E49">
        <w:t xml:space="preserve"> Number </w:t>
      </w:r>
      <w:r w:rsidR="00FC278E">
        <w:t>95575 O3</w:t>
      </w:r>
    </w:p>
    <w:p w14:paraId="38EB8E4B" w14:textId="77777777" w:rsidR="00EF5E49" w:rsidRDefault="00EF5E49" w:rsidP="00EF5E49">
      <w:pPr>
        <w:pStyle w:val="Level2Body"/>
        <w:rPr>
          <w:lang w:val="en-US"/>
        </w:rPr>
      </w:pPr>
    </w:p>
    <w:p w14:paraId="2A3A6D65" w14:textId="77777777" w:rsidR="0005081C" w:rsidRDefault="0005081C" w:rsidP="00EF5E49">
      <w:pPr>
        <w:pStyle w:val="Level2Body"/>
        <w:rPr>
          <w:lang w:val="en-US"/>
        </w:rPr>
      </w:pPr>
    </w:p>
    <w:p w14:paraId="24F182E6" w14:textId="77777777" w:rsidR="0005081C" w:rsidRDefault="0005081C" w:rsidP="0005081C">
      <w:pPr>
        <w:rPr>
          <w:sz w:val="24"/>
          <w:szCs w:val="24"/>
        </w:rPr>
      </w:pPr>
      <w:r w:rsidRPr="001708A2">
        <w:rPr>
          <w:sz w:val="24"/>
          <w:szCs w:val="24"/>
        </w:rPr>
        <w:t xml:space="preserve">The distributor will bid a flat rate to store and deliver donated foods on a fee per case basis.  The same fee per case shall apply to all deliveries regardless of delivery location or number of cases being delivered. This fee applies to cases of direct delivery donated foods as well as end products that are purchased by DHHS from awarded processors. However, the fee does not apply to distributor sales of end products to recipient agencies. </w:t>
      </w:r>
    </w:p>
    <w:p w14:paraId="4B2E12EB" w14:textId="77777777" w:rsidR="0005081C" w:rsidRDefault="0005081C" w:rsidP="0005081C">
      <w:pPr>
        <w:pStyle w:val="Level2Body"/>
        <w:ind w:left="0"/>
        <w:rPr>
          <w:sz w:val="24"/>
        </w:rPr>
      </w:pPr>
    </w:p>
    <w:p w14:paraId="1E839203" w14:textId="6037791C" w:rsidR="0005081C" w:rsidRDefault="0005081C" w:rsidP="0005081C">
      <w:pPr>
        <w:pStyle w:val="Level2Body"/>
        <w:ind w:left="0"/>
        <w:rPr>
          <w:sz w:val="24"/>
        </w:rPr>
      </w:pPr>
      <w:r>
        <w:rPr>
          <w:sz w:val="24"/>
        </w:rPr>
        <w:t xml:space="preserve">Distribution charge per case </w:t>
      </w:r>
      <w:r w:rsidRPr="00EF5E49">
        <w:rPr>
          <w:sz w:val="24"/>
        </w:rPr>
        <w:t>as indi</w:t>
      </w:r>
      <w:r>
        <w:rPr>
          <w:sz w:val="24"/>
        </w:rPr>
        <w:t>cated on the monthly Manifest and</w:t>
      </w:r>
      <w:r w:rsidRPr="00EF5E49">
        <w:rPr>
          <w:sz w:val="24"/>
        </w:rPr>
        <w:t xml:space="preserve"> other delivery instruction</w:t>
      </w:r>
      <w:r>
        <w:rPr>
          <w:sz w:val="24"/>
        </w:rPr>
        <w:t>s</w:t>
      </w:r>
      <w:r w:rsidRPr="00EF5E49">
        <w:rPr>
          <w:sz w:val="24"/>
        </w:rPr>
        <w:t xml:space="preserve"> provided by DHHS</w:t>
      </w:r>
      <w:r>
        <w:rPr>
          <w:sz w:val="24"/>
        </w:rPr>
        <w:t>.</w:t>
      </w:r>
    </w:p>
    <w:p w14:paraId="58AF062A" w14:textId="77777777" w:rsidR="009C4BB2" w:rsidRDefault="009C4BB2" w:rsidP="0005081C">
      <w:pPr>
        <w:pStyle w:val="Level2Body"/>
        <w:ind w:left="0"/>
        <w:rPr>
          <w:sz w:val="24"/>
        </w:rPr>
      </w:pPr>
    </w:p>
    <w:p w14:paraId="1CF20585" w14:textId="77777777" w:rsidR="009C4BB2" w:rsidRPr="00E8196D" w:rsidRDefault="009C4BB2" w:rsidP="009C4BB2">
      <w:pPr>
        <w:pStyle w:val="Level2Body"/>
        <w:ind w:left="0"/>
        <w:rPr>
          <w:szCs w:val="18"/>
        </w:rPr>
      </w:pPr>
      <w:r w:rsidRPr="00E8196D">
        <w:rPr>
          <w:szCs w:val="18"/>
        </w:rPr>
        <w:t>All prices, costs, and terms and conditions submitted in the proposal shall remain fixed and valid commencing on the opening date of the proposal until the contract terminates or expires.</w:t>
      </w:r>
    </w:p>
    <w:p w14:paraId="4D8C5DA9" w14:textId="77777777" w:rsidR="009C4BB2" w:rsidRDefault="009C4BB2" w:rsidP="0005081C">
      <w:pPr>
        <w:pStyle w:val="Level2Body"/>
        <w:ind w:left="0"/>
        <w:rPr>
          <w:sz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5081C" w14:paraId="71559CED" w14:textId="77777777" w:rsidTr="0005081C">
        <w:tc>
          <w:tcPr>
            <w:tcW w:w="1558" w:type="dxa"/>
          </w:tcPr>
          <w:p w14:paraId="544089A9" w14:textId="77777777" w:rsidR="0005081C" w:rsidRDefault="0005081C"/>
        </w:tc>
        <w:tc>
          <w:tcPr>
            <w:tcW w:w="1558" w:type="dxa"/>
          </w:tcPr>
          <w:p w14:paraId="4AEE0B8F" w14:textId="173EDAB9" w:rsidR="0005081C" w:rsidRDefault="0005081C" w:rsidP="00670CB6">
            <w:pPr>
              <w:jc w:val="center"/>
            </w:pPr>
            <w:r>
              <w:t>Year 1</w:t>
            </w:r>
          </w:p>
        </w:tc>
        <w:tc>
          <w:tcPr>
            <w:tcW w:w="1558" w:type="dxa"/>
          </w:tcPr>
          <w:p w14:paraId="293E4DC2" w14:textId="6159BC6D" w:rsidR="0005081C" w:rsidRDefault="0005081C" w:rsidP="00670CB6">
            <w:pPr>
              <w:jc w:val="center"/>
            </w:pPr>
            <w:r>
              <w:t>Year 2</w:t>
            </w:r>
          </w:p>
        </w:tc>
        <w:tc>
          <w:tcPr>
            <w:tcW w:w="1558" w:type="dxa"/>
          </w:tcPr>
          <w:p w14:paraId="5639D907" w14:textId="4A9E9DE7" w:rsidR="0005081C" w:rsidRDefault="0005081C" w:rsidP="00670CB6">
            <w:pPr>
              <w:jc w:val="center"/>
            </w:pPr>
            <w:r>
              <w:t>Year 3</w:t>
            </w:r>
          </w:p>
        </w:tc>
        <w:tc>
          <w:tcPr>
            <w:tcW w:w="1559" w:type="dxa"/>
          </w:tcPr>
          <w:p w14:paraId="0447BB50" w14:textId="421C8DDF" w:rsidR="0005081C" w:rsidRDefault="0005081C" w:rsidP="00670CB6">
            <w:pPr>
              <w:jc w:val="center"/>
            </w:pPr>
            <w:r>
              <w:t>Year 4</w:t>
            </w:r>
          </w:p>
        </w:tc>
        <w:tc>
          <w:tcPr>
            <w:tcW w:w="1559" w:type="dxa"/>
          </w:tcPr>
          <w:p w14:paraId="4EE99067" w14:textId="5C7B6D84" w:rsidR="0005081C" w:rsidRDefault="0005081C" w:rsidP="00670CB6">
            <w:pPr>
              <w:jc w:val="center"/>
            </w:pPr>
            <w:r>
              <w:t>Year 5</w:t>
            </w:r>
          </w:p>
        </w:tc>
      </w:tr>
      <w:tr w:rsidR="0005081C" w14:paraId="4CD5251C" w14:textId="77777777" w:rsidTr="0005081C">
        <w:tc>
          <w:tcPr>
            <w:tcW w:w="1558" w:type="dxa"/>
          </w:tcPr>
          <w:p w14:paraId="7C72244F" w14:textId="16C4CE17" w:rsidR="0005081C" w:rsidRDefault="0005081C">
            <w:r>
              <w:t>Cost per case delivered</w:t>
            </w:r>
          </w:p>
        </w:tc>
        <w:tc>
          <w:tcPr>
            <w:tcW w:w="1558" w:type="dxa"/>
          </w:tcPr>
          <w:p w14:paraId="41E7E069" w14:textId="172313D0" w:rsidR="0005081C" w:rsidRDefault="0005081C">
            <w:r>
              <w:t>$</w:t>
            </w:r>
          </w:p>
        </w:tc>
        <w:tc>
          <w:tcPr>
            <w:tcW w:w="1558" w:type="dxa"/>
          </w:tcPr>
          <w:p w14:paraId="779903C4" w14:textId="37BBC2AB" w:rsidR="0005081C" w:rsidRDefault="0005081C">
            <w:r>
              <w:t>$</w:t>
            </w:r>
          </w:p>
        </w:tc>
        <w:tc>
          <w:tcPr>
            <w:tcW w:w="1558" w:type="dxa"/>
          </w:tcPr>
          <w:p w14:paraId="44327E6C" w14:textId="3927E520" w:rsidR="0005081C" w:rsidRDefault="0005081C">
            <w:r>
              <w:t>$</w:t>
            </w:r>
          </w:p>
        </w:tc>
        <w:tc>
          <w:tcPr>
            <w:tcW w:w="1559" w:type="dxa"/>
          </w:tcPr>
          <w:p w14:paraId="6028D7C3" w14:textId="4A8DCFA5" w:rsidR="0005081C" w:rsidRDefault="0005081C">
            <w:r>
              <w:t>$</w:t>
            </w:r>
          </w:p>
        </w:tc>
        <w:tc>
          <w:tcPr>
            <w:tcW w:w="1559" w:type="dxa"/>
          </w:tcPr>
          <w:p w14:paraId="19EA4E93" w14:textId="3D63D0AC" w:rsidR="0005081C" w:rsidRDefault="0005081C">
            <w:r>
              <w:t>$</w:t>
            </w:r>
          </w:p>
        </w:tc>
      </w:tr>
    </w:tbl>
    <w:p w14:paraId="38EB8E53" w14:textId="77777777" w:rsidR="006E1546" w:rsidRDefault="006E1546"/>
    <w:p w14:paraId="3636743E" w14:textId="77777777" w:rsidR="00C94A75" w:rsidRDefault="00C94A75"/>
    <w:p w14:paraId="2B179B33" w14:textId="77777777" w:rsidR="00FC278E" w:rsidRDefault="00FC278E"/>
    <w:p w14:paraId="43A9B730" w14:textId="77777777" w:rsidR="00FC278E" w:rsidRDefault="00FC278E"/>
    <w:p w14:paraId="62163A33" w14:textId="77777777" w:rsidR="00C94A75" w:rsidRDefault="00C94A75"/>
    <w:p w14:paraId="09C3A1E7" w14:textId="3A751718" w:rsidR="00C94A75" w:rsidRPr="00C94A75" w:rsidRDefault="00C94A75" w:rsidP="00C94A75">
      <w:pPr>
        <w:jc w:val="center"/>
        <w:rPr>
          <w:b/>
          <w:sz w:val="28"/>
          <w:szCs w:val="28"/>
        </w:rPr>
      </w:pPr>
      <w:r w:rsidRPr="00C94A75">
        <w:rPr>
          <w:b/>
          <w:sz w:val="28"/>
          <w:szCs w:val="28"/>
        </w:rPr>
        <w:t>Optional Pricing</w:t>
      </w:r>
    </w:p>
    <w:p w14:paraId="3126D98F" w14:textId="77777777" w:rsidR="00C94A75" w:rsidRDefault="00C94A75"/>
    <w:p w14:paraId="457FEDBE" w14:textId="77777777" w:rsidR="00C94A75" w:rsidRDefault="00C94A75"/>
    <w:p w14:paraId="3112EBB5" w14:textId="77777777" w:rsidR="00C94A75" w:rsidRDefault="00C94A75"/>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3"/>
      </w:tblGrid>
      <w:tr w:rsidR="00C94A75" w14:paraId="339FF1B9" w14:textId="77777777" w:rsidTr="00FD2D9C">
        <w:trPr>
          <w:trHeight w:val="764"/>
        </w:trPr>
        <w:tc>
          <w:tcPr>
            <w:tcW w:w="9223" w:type="dxa"/>
            <w:tcBorders>
              <w:top w:val="single" w:sz="4" w:space="0" w:color="auto"/>
              <w:left w:val="single" w:sz="4" w:space="0" w:color="auto"/>
              <w:bottom w:val="single" w:sz="4" w:space="0" w:color="auto"/>
              <w:right w:val="single" w:sz="4" w:space="0" w:color="auto"/>
            </w:tcBorders>
            <w:hideMark/>
          </w:tcPr>
          <w:p w14:paraId="7AFC1433" w14:textId="48051C32" w:rsidR="00C94A75" w:rsidRPr="00C94A75" w:rsidRDefault="00C94A75" w:rsidP="00FD2D9C">
            <w:r>
              <w:t xml:space="preserve">The recipient agency may choose to pick up their order from the distributor’s facility.  When this occurs, the distributor may </w:t>
            </w:r>
            <w:r w:rsidR="00FD2D9C">
              <w:t xml:space="preserve">apply a percent off </w:t>
            </w:r>
            <w:r>
              <w:t>the contracted amount.</w:t>
            </w:r>
            <w:r w:rsidR="00FD2D9C">
              <w:t xml:space="preserve">  Historically, this has happened </w:t>
            </w:r>
            <w:r w:rsidR="00BB19AD">
              <w:t>less than three times</w:t>
            </w:r>
            <w:r w:rsidR="00FD2D9C">
              <w:t xml:space="preserve"> in the</w:t>
            </w:r>
            <w:r w:rsidR="00BB19AD">
              <w:t xml:space="preserve"> previous two</w:t>
            </w:r>
            <w:r w:rsidR="00FD2D9C">
              <w:t xml:space="preserve"> years.</w:t>
            </w:r>
          </w:p>
        </w:tc>
      </w:tr>
      <w:tr w:rsidR="00C94A75" w14:paraId="3815D0D9" w14:textId="77777777" w:rsidTr="009112C1">
        <w:trPr>
          <w:trHeight w:val="1324"/>
        </w:trPr>
        <w:tc>
          <w:tcPr>
            <w:tcW w:w="9223" w:type="dxa"/>
            <w:tcBorders>
              <w:top w:val="single" w:sz="4" w:space="0" w:color="auto"/>
              <w:left w:val="single" w:sz="4" w:space="0" w:color="auto"/>
              <w:bottom w:val="single" w:sz="4" w:space="0" w:color="auto"/>
              <w:right w:val="single" w:sz="4" w:space="0" w:color="auto"/>
            </w:tcBorders>
          </w:tcPr>
          <w:p w14:paraId="1A09102A" w14:textId="77777777" w:rsidR="00C94A75" w:rsidRDefault="00C94A75" w:rsidP="009112C1">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outlineLvl w:val="0"/>
              <w:rPr>
                <w:rFonts w:cs="Arial"/>
                <w:b/>
                <w:bCs/>
                <w:sz w:val="24"/>
                <w:szCs w:val="24"/>
              </w:rPr>
            </w:pPr>
          </w:p>
          <w:p w14:paraId="0E33A553" w14:textId="77777777" w:rsidR="00C94A75" w:rsidRPr="00FD2D9C" w:rsidRDefault="00C94A75" w:rsidP="00C94A75">
            <w:pPr>
              <w:jc w:val="center"/>
              <w:rPr>
                <w:b/>
                <w:sz w:val="24"/>
                <w:szCs w:val="24"/>
              </w:rPr>
            </w:pPr>
            <w:r w:rsidRPr="00FD2D9C">
              <w:rPr>
                <w:b/>
                <w:sz w:val="24"/>
                <w:szCs w:val="24"/>
              </w:rPr>
              <w:t>_______ % off when picked up</w:t>
            </w:r>
          </w:p>
          <w:p w14:paraId="564BE179" w14:textId="77777777" w:rsidR="00C94A75" w:rsidRDefault="00C94A75" w:rsidP="009112C1">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center"/>
              <w:outlineLvl w:val="0"/>
              <w:rPr>
                <w:sz w:val="20"/>
                <w:szCs w:val="20"/>
              </w:rPr>
            </w:pPr>
          </w:p>
        </w:tc>
      </w:tr>
    </w:tbl>
    <w:p w14:paraId="3DE95CB7" w14:textId="77777777" w:rsidR="00C94A75" w:rsidRDefault="00C94A75"/>
    <w:sectPr w:rsidR="00C94A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C663" w14:textId="77777777" w:rsidR="00764D04" w:rsidRDefault="00764D04" w:rsidP="00764D04">
      <w:r>
        <w:separator/>
      </w:r>
    </w:p>
  </w:endnote>
  <w:endnote w:type="continuationSeparator" w:id="0">
    <w:p w14:paraId="5EE31008" w14:textId="77777777" w:rsidR="00764D04" w:rsidRDefault="00764D04" w:rsidP="0076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6420"/>
      <w:docPartObj>
        <w:docPartGallery w:val="Page Numbers (Bottom of Page)"/>
        <w:docPartUnique/>
      </w:docPartObj>
    </w:sdtPr>
    <w:sdtEndPr/>
    <w:sdtContent>
      <w:sdt>
        <w:sdtPr>
          <w:id w:val="1728636285"/>
          <w:docPartObj>
            <w:docPartGallery w:val="Page Numbers (Top of Page)"/>
            <w:docPartUnique/>
          </w:docPartObj>
        </w:sdtPr>
        <w:sdtEndPr/>
        <w:sdtContent>
          <w:p w14:paraId="0C2B4A6E" w14:textId="066A2F2C" w:rsidR="00764D04" w:rsidRDefault="00764D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0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0C8">
              <w:rPr>
                <w:b/>
                <w:bCs/>
                <w:noProof/>
              </w:rPr>
              <w:t>1</w:t>
            </w:r>
            <w:r>
              <w:rPr>
                <w:b/>
                <w:bCs/>
                <w:sz w:val="24"/>
                <w:szCs w:val="24"/>
              </w:rPr>
              <w:fldChar w:fldCharType="end"/>
            </w:r>
          </w:p>
        </w:sdtContent>
      </w:sdt>
    </w:sdtContent>
  </w:sdt>
  <w:p w14:paraId="265995A6" w14:textId="77777777" w:rsidR="00764D04" w:rsidRDefault="0076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97C99" w14:textId="77777777" w:rsidR="00764D04" w:rsidRDefault="00764D04" w:rsidP="00764D04">
      <w:r>
        <w:separator/>
      </w:r>
    </w:p>
  </w:footnote>
  <w:footnote w:type="continuationSeparator" w:id="0">
    <w:p w14:paraId="349DBD77" w14:textId="77777777" w:rsidR="00764D04" w:rsidRDefault="00764D04" w:rsidP="0076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9"/>
    <w:rsid w:val="0005081C"/>
    <w:rsid w:val="000B4059"/>
    <w:rsid w:val="001708A2"/>
    <w:rsid w:val="004420A6"/>
    <w:rsid w:val="00607EE1"/>
    <w:rsid w:val="00670CB6"/>
    <w:rsid w:val="006E1546"/>
    <w:rsid w:val="00764D04"/>
    <w:rsid w:val="009C4BB2"/>
    <w:rsid w:val="00BB19AD"/>
    <w:rsid w:val="00C94A75"/>
    <w:rsid w:val="00EF5E49"/>
    <w:rsid w:val="00F540C8"/>
    <w:rsid w:val="00FC278E"/>
    <w:rsid w:val="00FD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8E47"/>
  <w15:chartTrackingRefBased/>
  <w15:docId w15:val="{D39A9ED6-E7DF-4826-A1EE-B41E198D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EF5E49"/>
    <w:pPr>
      <w:spacing w:after="0" w:line="240" w:lineRule="auto"/>
      <w:jc w:val="both"/>
    </w:pPr>
    <w:rPr>
      <w:rFonts w:ascii="Arial" w:eastAsia="Times New Roman" w:hAnsi="Arial" w:cs="Times New Roman"/>
    </w:rPr>
  </w:style>
  <w:style w:type="paragraph" w:styleId="Heading1">
    <w:name w:val="heading 1"/>
    <w:aliases w:val="forms/glossary,Section Heading,h1"/>
    <w:basedOn w:val="Normal"/>
    <w:next w:val="Normal"/>
    <w:link w:val="Heading1Char"/>
    <w:qFormat/>
    <w:rsid w:val="00EF5E49"/>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Section Heading Char,h1 Char"/>
    <w:basedOn w:val="DefaultParagraphFont"/>
    <w:link w:val="Heading1"/>
    <w:rsid w:val="00EF5E49"/>
    <w:rPr>
      <w:rFonts w:ascii="Arial" w:eastAsia="Times New Roman" w:hAnsi="Arial" w:cs="Times New Roman"/>
      <w:sz w:val="28"/>
    </w:rPr>
  </w:style>
  <w:style w:type="paragraph" w:customStyle="1" w:styleId="14bldcentr">
    <w:name w:val="14 bld centr"/>
    <w:aliases w:val="rfp frm"/>
    <w:basedOn w:val="Normal"/>
    <w:rsid w:val="00EF5E49"/>
    <w:pPr>
      <w:jc w:val="center"/>
    </w:pPr>
    <w:rPr>
      <w:b/>
      <w:bCs/>
      <w:sz w:val="28"/>
      <w:szCs w:val="20"/>
    </w:rPr>
  </w:style>
  <w:style w:type="character" w:customStyle="1" w:styleId="Level2BodyChar">
    <w:name w:val="Level 2 Body Char"/>
    <w:link w:val="Level2Body"/>
    <w:locked/>
    <w:rsid w:val="00EF5E49"/>
    <w:rPr>
      <w:rFonts w:ascii="Arial" w:hAnsi="Arial" w:cs="Arial"/>
      <w:color w:val="000000"/>
      <w:szCs w:val="24"/>
      <w:lang w:val="x-none" w:eastAsia="x-none"/>
    </w:rPr>
  </w:style>
  <w:style w:type="paragraph" w:customStyle="1" w:styleId="Level2Body">
    <w:name w:val="Level 2 Body"/>
    <w:basedOn w:val="Normal"/>
    <w:link w:val="Level2BodyChar"/>
    <w:rsid w:val="00EF5E49"/>
    <w:pPr>
      <w:ind w:left="720"/>
    </w:pPr>
    <w:rPr>
      <w:rFonts w:eastAsiaTheme="minorHAnsi" w:cs="Arial"/>
      <w:color w:val="000000"/>
      <w:szCs w:val="24"/>
      <w:lang w:val="x-none" w:eastAsia="x-none"/>
    </w:rPr>
  </w:style>
  <w:style w:type="character" w:styleId="CommentReference">
    <w:name w:val="annotation reference"/>
    <w:basedOn w:val="DefaultParagraphFont"/>
    <w:uiPriority w:val="99"/>
    <w:semiHidden/>
    <w:unhideWhenUsed/>
    <w:rsid w:val="001708A2"/>
    <w:rPr>
      <w:sz w:val="16"/>
      <w:szCs w:val="16"/>
    </w:rPr>
  </w:style>
  <w:style w:type="paragraph" w:styleId="CommentText">
    <w:name w:val="annotation text"/>
    <w:basedOn w:val="Normal"/>
    <w:link w:val="CommentTextChar"/>
    <w:uiPriority w:val="99"/>
    <w:semiHidden/>
    <w:unhideWhenUsed/>
    <w:rsid w:val="001708A2"/>
    <w:pPr>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08A2"/>
    <w:rPr>
      <w:sz w:val="20"/>
      <w:szCs w:val="20"/>
    </w:rPr>
  </w:style>
  <w:style w:type="paragraph" w:styleId="BalloonText">
    <w:name w:val="Balloon Text"/>
    <w:basedOn w:val="Normal"/>
    <w:link w:val="BalloonTextChar"/>
    <w:uiPriority w:val="99"/>
    <w:semiHidden/>
    <w:unhideWhenUsed/>
    <w:rsid w:val="00170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A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D2D9C"/>
    <w:pPr>
      <w:spacing w:after="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D2D9C"/>
    <w:rPr>
      <w:rFonts w:ascii="Arial" w:eastAsia="Times New Roman" w:hAnsi="Arial" w:cs="Times New Roman"/>
      <w:b/>
      <w:bCs/>
      <w:sz w:val="20"/>
      <w:szCs w:val="20"/>
    </w:rPr>
  </w:style>
  <w:style w:type="table" w:styleId="TableGrid">
    <w:name w:val="Table Grid"/>
    <w:basedOn w:val="TableNormal"/>
    <w:uiPriority w:val="39"/>
    <w:rsid w:val="0005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D04"/>
    <w:pPr>
      <w:tabs>
        <w:tab w:val="center" w:pos="4680"/>
        <w:tab w:val="right" w:pos="9360"/>
      </w:tabs>
    </w:pPr>
  </w:style>
  <w:style w:type="character" w:customStyle="1" w:styleId="HeaderChar">
    <w:name w:val="Header Char"/>
    <w:basedOn w:val="DefaultParagraphFont"/>
    <w:link w:val="Header"/>
    <w:uiPriority w:val="99"/>
    <w:rsid w:val="00764D04"/>
    <w:rPr>
      <w:rFonts w:ascii="Arial" w:eastAsia="Times New Roman" w:hAnsi="Arial" w:cs="Times New Roman"/>
    </w:rPr>
  </w:style>
  <w:style w:type="paragraph" w:styleId="Footer">
    <w:name w:val="footer"/>
    <w:basedOn w:val="Normal"/>
    <w:link w:val="FooterChar"/>
    <w:uiPriority w:val="99"/>
    <w:unhideWhenUsed/>
    <w:rsid w:val="00764D04"/>
    <w:pPr>
      <w:tabs>
        <w:tab w:val="center" w:pos="4680"/>
        <w:tab w:val="right" w:pos="9360"/>
      </w:tabs>
    </w:pPr>
  </w:style>
  <w:style w:type="character" w:customStyle="1" w:styleId="FooterChar">
    <w:name w:val="Footer Char"/>
    <w:basedOn w:val="DefaultParagraphFont"/>
    <w:link w:val="Footer"/>
    <w:uiPriority w:val="99"/>
    <w:rsid w:val="00764D0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2" ma:contentTypeDescription="" ma:contentTypeScope="" ma:versionID="be903e1c800d05a6eaff3d61b050c4d9">
  <xsd:schema xmlns:xsd="http://www.w3.org/2001/XMLSchema" xmlns:xs="http://www.w3.org/2001/XMLSchema" xmlns:p="http://schemas.microsoft.com/office/2006/metadata/properties" xmlns:ns2="e3709f45-ee57-4ddf-8078-855eb8d761aa" targetNamespace="http://schemas.microsoft.com/office/2006/metadata/properties" ma:root="true" ma:fieldsID="623b34a194831fff315d5195194672c7"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645AD-0389-4CFD-AC58-8BEEFAA87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C58FD-74B1-4FA6-9BD7-8D1CE95E625B}">
  <ds:schemaRefs>
    <ds:schemaRef ds:uri="http://schemas.microsoft.com/office/2006/metadata/customXsn"/>
  </ds:schemaRefs>
</ds:datastoreItem>
</file>

<file path=customXml/itemProps3.xml><?xml version="1.0" encoding="utf-8"?>
<ds:datastoreItem xmlns:ds="http://schemas.openxmlformats.org/officeDocument/2006/customXml" ds:itemID="{10432934-90F6-44F7-9B9F-5FEA69992ACE}">
  <ds:schemaRefs>
    <ds:schemaRef ds:uri="http://schemas.microsoft.com/office/infopath/2007/PartnerControls"/>
    <ds:schemaRef ds:uri="http://schemas.microsoft.com/office/2006/metadata/properties"/>
    <ds:schemaRef ds:uri="http://schemas.microsoft.com/office/2006/documentManagement/types"/>
    <ds:schemaRef ds:uri="e3709f45-ee57-4ddf-8078-855eb8d761aa"/>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F0F89DC-9C83-4D9A-8620-C953C6156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Mohr</dc:creator>
  <cp:keywords/>
  <dc:description/>
  <cp:lastModifiedBy>Michelle Thompson</cp:lastModifiedBy>
  <cp:revision>2</cp:revision>
  <dcterms:created xsi:type="dcterms:W3CDTF">2018-04-23T19:51:00Z</dcterms:created>
  <dcterms:modified xsi:type="dcterms:W3CDTF">2018-04-23T19:51:00Z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1336690434</vt:i4>
  </property>
  <property fmtid="{D5CDD505-2E9C-101B-9397-08002B2CF9AE}" pid="3" name="_NewReviewCycle">
    <vt:lpwstr/>
  </property>
  <property fmtid="{D5CDD505-2E9C-101B-9397-08002B2CF9AE}" pid="4" name="_EmailSubject">
    <vt:lpwstr>FDP Distribution Contract</vt:lpwstr>
  </property>
  <property fmtid="{D5CDD505-2E9C-101B-9397-08002B2CF9AE}" pid="5" name="_AuthorEmail">
    <vt:lpwstr>Chad.Mohr@nebraska.gov</vt:lpwstr>
  </property>
  <property fmtid="{D5CDD505-2E9C-101B-9397-08002B2CF9AE}" pid="6" name="_AuthorEmailDisplayName">
    <vt:lpwstr>Mohr, Chad</vt:lpwstr>
  </property>
  <property fmtid="{D5CDD505-2E9C-101B-9397-08002B2CF9AE}" pid="7" name="_ReviewingToolsShownOnce">
    <vt:lpwstr/>
  </property>
  <property fmtid="{D5CDD505-2E9C-101B-9397-08002B2CF9AE}" pid="8" name="ContentTypeId">
    <vt:lpwstr>0x010100DCE0C6E29656A14F93FF30B8EEF568EA00C641598ED184924681B6AB974CF10DC6</vt:lpwstr>
  </property>
</Properties>
</file>